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E7E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Дисциплина «Элементы и устройства автоматики»</w:t>
      </w:r>
    </w:p>
    <w:p w:rsidR="00947E7E" w:rsidRPr="00947E7E" w:rsidRDefault="00947E7E" w:rsidP="00947E7E">
      <w:pPr>
        <w:pStyle w:val="a4"/>
      </w:pP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Автоматические устройства есть практически во всех технических системах от космических комплексов до бытовой аппаратуры. Растет уровень автоматизации применяемых на водном транспорте систем навигации и связи, энергообеспечения, управления судовождением, грузовых и общесудовых систем. К ним предъявляются все более высокие требования, соответствующие международным стандартам. Для успешной эксплуатации систем автоматики, принятия правильных решений при выборе, ремонте и модернизации оборудования, при возникновении нештатных ситуаций необходимо знание принципов работы и технических возможностей элементов систем автоматики как применяемых в настоящее время, так и перспективных.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зависимости от физической природы сигналов элементы автоматики делятся на механические, гидравлические, пневматические и электрические. В данном курсе рассматриваются электрические элементы систем автоматического регулирования и контроля. Система автоматического регулирования состоит из объекта управления с регулирующим органом, который является неотъемлемой частью объекта управления, необходимой как при ручном, так и при автоматическом управлении, и автоматического регулятора с измерительным, усилительно-преобразовательным и исполнительным функциональными устройствами. Соответственно и элементы делят на измерительные, усилительно-преобразовательные и исполнительные. Измерительный элемент выдает информацию о состоянии объекта в виде физической величины (напряжения, частоты, активного или реактивного сопротивления и т.д.). Исполнительный элемент (коммутатор, электромагнитный клапан, серводвигатель и т.д.) подает на регулирующий орган объекта управляющее воздействие, изменяющее состояние объекта. На усилительно-преобразовательных элементах строят устройство, которое на основании информации о состоянии объекта формирует сигнал управления исполнительным элементом в соответствии с законом (алгоритмом) управления. Для решения этой задачи в общем случае выполняются следующие действия: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представление физической величины, несущей информацию о состоянии объекта, сигналом, удобным для измерения (сопротивления – током, перемещения – напряжением и т.д.);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преобразование сигнала в более удобную для последующей обработки форму (переменного тока в постоянный, напряжения в цифровой код, фазового сдвига в количество импульсов и т.д.);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фильтрацию помех;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усиление сигналов по напряжению, току, мощности;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выполнение операций, составляющих алгоритм управления (суммирование, интегрирование, дифференцирование, логические операции, задержка сигнала по времени и т.д.);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lastRenderedPageBreak/>
        <w:t>– преобразование результата выполнения алгоритма управления, представленного цифровым кодом или уровнем напряжения, в сигнал, необходимый для управления исполнительным элементом (напряжение постоянного тока, сигнал с широтно-импульсной модуляцией, последовательность импульсов и т.д.).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современных системах алгоритм управления, как и ряд преобразований сигнала из одной формы в другую, выполняет цифровое вычислительное устройство (промышленный компьютер, микроконтроллер). Обмен сигналами между компьютером и установленными на объекте измерительными и исполнительными элементами осуществляется через устройство согласования с объектом. Устройства согласования выполняются в виде специальных модулей, ориентированных на определенные виды передаваемых сигналов.</w:t>
      </w:r>
    </w:p>
    <w:p w:rsidR="00947E7E" w:rsidRPr="006E7360" w:rsidRDefault="00947E7E" w:rsidP="00947E7E">
      <w:pPr>
        <w:pStyle w:val="2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1. </w:t>
      </w:r>
      <w:bookmarkStart w:id="0" w:name="_GoBack"/>
      <w:r w:rsidRPr="006E7360">
        <w:rPr>
          <w:color w:val="000000"/>
          <w:sz w:val="28"/>
          <w:szCs w:val="28"/>
        </w:rPr>
        <w:t>Статические и динамические</w:t>
      </w:r>
      <w:r>
        <w:rPr>
          <w:color w:val="000000"/>
          <w:sz w:val="28"/>
          <w:szCs w:val="28"/>
        </w:rPr>
        <w:t xml:space="preserve"> </w:t>
      </w:r>
      <w:r w:rsidRPr="006E7360">
        <w:rPr>
          <w:color w:val="000000"/>
          <w:sz w:val="28"/>
          <w:szCs w:val="28"/>
        </w:rPr>
        <w:t>характеристики элемента</w:t>
      </w:r>
      <w:bookmarkEnd w:id="0"/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Технические требования, предъявляемые к элементу системы, делят на общие (климатические условия работы, ресурс, надежность и т.д.) и специальные, характеризующие качество выполнения элементом своих основных функций. В первую очередь это требования к показателям точности и быстродействия элемента, определяемым по статическим и динамическим характеристикам. Наиболее полным описанием динамических свойств элемента является дифференциальное уравнение, устанавливающее зависимость выходной переменной элемента от входных переменных. В частном случае, когда элемент безынерционный, его выходная величина является не зависящей от времени функцией входной величины. Полным описанием такого «статического» элемента является статическая характеристика.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Дифференциальное уравнение динамики реального элемента, как правило, нелинейное. Во многих случаях допустимо рассматривать элемент как «линейный», приближенно описывая его динамику линеаризованным уравнением. Для линейного элемента справедлив принцип суперпозиции: если </w:t>
      </w:r>
      <w:r w:rsidRPr="006E7360">
        <w:rPr>
          <w:i/>
          <w:iCs/>
          <w:color w:val="000000"/>
          <w:sz w:val="28"/>
          <w:szCs w:val="28"/>
        </w:rPr>
        <w:t>h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 и </w:t>
      </w:r>
      <w:r w:rsidRPr="006E7360">
        <w:rPr>
          <w:i/>
          <w:iCs/>
          <w:color w:val="000000"/>
          <w:sz w:val="28"/>
          <w:szCs w:val="28"/>
        </w:rPr>
        <w:t>h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 – реакции элемента на воздействия </w:t>
      </w:r>
      <w:r w:rsidRPr="006E7360">
        <w:rPr>
          <w:i/>
          <w:iCs/>
          <w:color w:val="000000"/>
          <w:sz w:val="28"/>
          <w:szCs w:val="28"/>
        </w:rPr>
        <w:t>x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 и </w:t>
      </w:r>
      <w:r w:rsidRPr="006E7360">
        <w:rPr>
          <w:i/>
          <w:iCs/>
          <w:color w:val="000000"/>
          <w:sz w:val="28"/>
          <w:szCs w:val="28"/>
        </w:rPr>
        <w:t>x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), то </w:t>
      </w:r>
      <w:r w:rsidRPr="006E7360">
        <w:rPr>
          <w:i/>
          <w:iCs/>
          <w:color w:val="000000"/>
          <w:sz w:val="28"/>
          <w:szCs w:val="28"/>
        </w:rPr>
        <w:t>ah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)+</w:t>
      </w:r>
      <w:r w:rsidRPr="006E7360">
        <w:rPr>
          <w:i/>
          <w:iCs/>
          <w:color w:val="000000"/>
          <w:sz w:val="28"/>
          <w:szCs w:val="28"/>
        </w:rPr>
        <w:t>bh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 – реакция элемента на воздействие </w:t>
      </w:r>
      <w:r w:rsidRPr="006E7360">
        <w:rPr>
          <w:i/>
          <w:iCs/>
          <w:color w:val="000000"/>
          <w:sz w:val="28"/>
          <w:szCs w:val="28"/>
        </w:rPr>
        <w:t>ax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)+</w:t>
      </w:r>
      <w:r w:rsidRPr="006E7360">
        <w:rPr>
          <w:i/>
          <w:iCs/>
          <w:color w:val="000000"/>
          <w:sz w:val="28"/>
          <w:szCs w:val="28"/>
        </w:rPr>
        <w:t>bx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</w:rPr>
        <w:t>). Другими словами, реакции на любое число внешних воздействий можно складывать независимо друг от друга, а изменение масштаба входной величины пропорционально меняет выходную величину, не влияя на ее вид. Свойство линейности позволяет использовать достаточно простые способы описания динамики элемента: передаточную функцию, комплексный коэффициент передачи, переходную и частотные характеристики, представленные в виде графиков.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Нелинейные элементы, применяемые в системах автоматики, обычно представляют последовательным соединением нелинейного статического элемента, свойства которого полностью описываются статической характеристикой, и линейного динамического элемента.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Статическая характеристика</w:t>
      </w:r>
      <w:r w:rsidRPr="006E7360">
        <w:rPr>
          <w:color w:val="000000"/>
          <w:sz w:val="28"/>
          <w:szCs w:val="28"/>
        </w:rPr>
        <w:t> – это зависимость выходной величины </w:t>
      </w:r>
      <w:r w:rsidRPr="006E7360">
        <w:rPr>
          <w:i/>
          <w:iCs/>
          <w:color w:val="000000"/>
          <w:sz w:val="28"/>
          <w:szCs w:val="28"/>
        </w:rPr>
        <w:t>y</w:t>
      </w:r>
      <w:r w:rsidRPr="006E7360">
        <w:rPr>
          <w:color w:val="000000"/>
          <w:sz w:val="28"/>
          <w:szCs w:val="28"/>
        </w:rPr>
        <w:t> от входной </w:t>
      </w:r>
      <w:r w:rsidRPr="006E7360">
        <w:rPr>
          <w:i/>
          <w:iCs/>
          <w:color w:val="000000"/>
          <w:sz w:val="28"/>
          <w:szCs w:val="28"/>
        </w:rPr>
        <w:t>x</w:t>
      </w:r>
      <w:r w:rsidRPr="006E7360">
        <w:rPr>
          <w:color w:val="000000"/>
          <w:sz w:val="28"/>
          <w:szCs w:val="28"/>
        </w:rPr>
        <w:t xml:space="preserve"> в установившемся состоянии, когда эти величины приняли постоянные значения. Если при постоянном значении входной </w:t>
      </w:r>
      <w:r w:rsidRPr="006E7360">
        <w:rPr>
          <w:color w:val="000000"/>
          <w:sz w:val="28"/>
          <w:szCs w:val="28"/>
        </w:rPr>
        <w:lastRenderedPageBreak/>
        <w:t>величины выходная величина не принимает установившегося значения и статическую характеристику для этой пары величин невозможно построить, то такой элемент называется астатическим. Примером такого элемента является электродвигатель с входной величиной – поданным на него напряжением и выходной – углом поворота вала. По статической характеристике определяют статический коэффициент передачи </w:t>
      </w:r>
      <w:r w:rsidRPr="006E7360">
        <w:rPr>
          <w:i/>
          <w:iCs/>
          <w:color w:val="000000"/>
          <w:sz w:val="28"/>
          <w:szCs w:val="28"/>
        </w:rPr>
        <w:t>k</w:t>
      </w:r>
      <w:r w:rsidRPr="006E7360">
        <w:rPr>
          <w:color w:val="000000"/>
          <w:sz w:val="28"/>
          <w:szCs w:val="28"/>
        </w:rPr>
        <w:t> </w:t>
      </w:r>
      <w:r w:rsidRPr="006E7360">
        <w:rPr>
          <w:color w:val="000000"/>
          <w:sz w:val="28"/>
          <w:szCs w:val="28"/>
        </w:rPr>
        <w:sym w:font="Symbol" w:char="F044"/>
      </w:r>
      <w:r w:rsidRPr="006E7360">
        <w:rPr>
          <w:color w:val="000000"/>
          <w:sz w:val="28"/>
          <w:szCs w:val="28"/>
        </w:rPr>
        <w:t xml:space="preserve">= </w:t>
      </w:r>
      <w:r w:rsidRPr="006E7360">
        <w:rPr>
          <w:i/>
          <w:iCs/>
          <w:color w:val="000000"/>
          <w:sz w:val="28"/>
          <w:szCs w:val="28"/>
        </w:rPr>
        <w:t>y</w:t>
      </w:r>
      <w:r w:rsidRPr="006E7360">
        <w:rPr>
          <w:color w:val="000000"/>
          <w:sz w:val="28"/>
          <w:szCs w:val="28"/>
        </w:rPr>
        <w:sym w:font="Symbol" w:char="F044"/>
      </w:r>
      <w:r w:rsidRPr="006E7360">
        <w:rPr>
          <w:color w:val="000000"/>
          <w:sz w:val="28"/>
          <w:szCs w:val="28"/>
        </w:rPr>
        <w:t>/</w:t>
      </w:r>
      <w:r w:rsidRPr="006E7360">
        <w:rPr>
          <w:i/>
          <w:iCs/>
          <w:color w:val="000000"/>
          <w:sz w:val="28"/>
          <w:szCs w:val="28"/>
        </w:rPr>
        <w:t>x,</w:t>
      </w:r>
      <w:r w:rsidRPr="006E7360">
        <w:rPr>
          <w:color w:val="000000"/>
          <w:sz w:val="28"/>
          <w:szCs w:val="28"/>
        </w:rPr>
        <w:t> равный отношению изменения выходной величины к вызвавшему его изменению входной величины. Этот параметр, называемый также чувствительностью (</w:t>
      </w:r>
      <w:proofErr w:type="spellStart"/>
      <w:r w:rsidRPr="006E7360">
        <w:rPr>
          <w:color w:val="000000"/>
          <w:sz w:val="28"/>
          <w:szCs w:val="28"/>
        </w:rPr>
        <w:t>sensitivity</w:t>
      </w:r>
      <w:proofErr w:type="spellEnd"/>
      <w:r w:rsidRPr="006E7360">
        <w:rPr>
          <w:color w:val="000000"/>
          <w:sz w:val="28"/>
          <w:szCs w:val="28"/>
        </w:rPr>
        <w:t>), имеет смысл использовать, если статическая характеристика линейна или допускает линеаризацию, то есть на ее достаточно протяженном участке параметр</w:t>
      </w:r>
      <w:r w:rsidRPr="006E7360">
        <w:rPr>
          <w:i/>
          <w:iCs/>
          <w:color w:val="000000"/>
          <w:sz w:val="28"/>
          <w:szCs w:val="28"/>
        </w:rPr>
        <w:t> k</w:t>
      </w:r>
      <w:r w:rsidRPr="006E7360">
        <w:rPr>
          <w:color w:val="000000"/>
          <w:sz w:val="28"/>
          <w:szCs w:val="28"/>
        </w:rPr>
        <w:t> меняется незначительно. Элементы, характеристики которых не допускают линеаризации, называют существенно нелинейными.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Применяют также понятия порог чувствительности, разрешающая способность (</w:t>
      </w:r>
      <w:proofErr w:type="spellStart"/>
      <w:r w:rsidRPr="006E7360">
        <w:rPr>
          <w:color w:val="000000"/>
          <w:sz w:val="28"/>
          <w:szCs w:val="28"/>
        </w:rPr>
        <w:t>resolution</w:t>
      </w:r>
      <w:proofErr w:type="spellEnd"/>
      <w:r w:rsidRPr="006E7360">
        <w:rPr>
          <w:color w:val="000000"/>
          <w:sz w:val="28"/>
          <w:szCs w:val="28"/>
        </w:rPr>
        <w:t>) – это минимальное изменение входной величины, на которое «заметно» реагирует выходная величина.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Статическая характеристика линеаризованного элемента часто строится в отклонениях входной и выходной величин от «рабочей точки», расположенной обычно в середине линейного участка. Рабочая точка соответствует номинальному режиму работы элемента в системе.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Переходная характеристика</w:t>
      </w:r>
      <w:r w:rsidRPr="006E7360">
        <w:rPr>
          <w:color w:val="000000"/>
          <w:sz w:val="28"/>
          <w:szCs w:val="28"/>
        </w:rPr>
        <w:t> (</w:t>
      </w:r>
      <w:r w:rsidRPr="006E7360">
        <w:rPr>
          <w:b/>
          <w:bCs/>
          <w:color w:val="000000"/>
          <w:sz w:val="28"/>
          <w:szCs w:val="28"/>
        </w:rPr>
        <w:t>переходная функция</w:t>
      </w:r>
      <w:r w:rsidRPr="006E7360">
        <w:rPr>
          <w:color w:val="000000"/>
          <w:sz w:val="28"/>
          <w:szCs w:val="28"/>
        </w:rPr>
        <w:t>) – это изменение во времени выходной величины при подаче на вход единичного ступенчатого воздействия. Пример переходной характеристики, имеющей колебательный характер, приведен на рис.</w:t>
      </w:r>
      <w:proofErr w:type="gramStart"/>
      <w:r w:rsidRPr="006E7360">
        <w:rPr>
          <w:color w:val="000000"/>
          <w:sz w:val="28"/>
          <w:szCs w:val="28"/>
        </w:rPr>
        <w:t>1,</w:t>
      </w:r>
      <w:r w:rsidRPr="006E7360">
        <w:rPr>
          <w:i/>
          <w:iCs/>
          <w:color w:val="000000"/>
          <w:sz w:val="28"/>
          <w:szCs w:val="28"/>
        </w:rPr>
        <w:t>а.</w:t>
      </w:r>
      <w:proofErr w:type="gramEnd"/>
      <w:r w:rsidRPr="006E7360">
        <w:rPr>
          <w:color w:val="000000"/>
          <w:sz w:val="28"/>
          <w:szCs w:val="28"/>
        </w:rPr>
        <w:t>  (</w:t>
      </w:r>
      <w:proofErr w:type="spellStart"/>
      <w:r w:rsidRPr="006E7360">
        <w:rPr>
          <w:color w:val="000000"/>
          <w:sz w:val="28"/>
          <w:szCs w:val="28"/>
        </w:rPr>
        <w:t>dead</w:t>
      </w:r>
      <w:proofErr w:type="spellEnd"/>
      <w:r w:rsidRPr="006E7360">
        <w:rPr>
          <w:color w:val="000000"/>
          <w:sz w:val="28"/>
          <w:szCs w:val="28"/>
        </w:rPr>
        <w:t xml:space="preserve"> </w:t>
      </w:r>
      <w:proofErr w:type="spellStart"/>
      <w:r w:rsidRPr="006E7360">
        <w:rPr>
          <w:color w:val="000000"/>
          <w:sz w:val="28"/>
          <w:szCs w:val="28"/>
        </w:rPr>
        <w:t>time</w:t>
      </w:r>
      <w:proofErr w:type="spellEnd"/>
      <w:r w:rsidRPr="006E7360">
        <w:rPr>
          <w:color w:val="000000"/>
          <w:sz w:val="28"/>
          <w:szCs w:val="28"/>
        </w:rPr>
        <w:t>); время переходного процесса, или время установления (</w:t>
      </w:r>
      <w:proofErr w:type="spellStart"/>
      <w:r w:rsidRPr="006E7360">
        <w:rPr>
          <w:color w:val="000000"/>
          <w:sz w:val="28"/>
          <w:szCs w:val="28"/>
        </w:rPr>
        <w:t>settling</w:t>
      </w:r>
      <w:proofErr w:type="spellEnd"/>
      <w:r w:rsidRPr="006E7360">
        <w:rPr>
          <w:color w:val="000000"/>
          <w:sz w:val="28"/>
          <w:szCs w:val="28"/>
        </w:rPr>
        <w:t xml:space="preserve"> </w:t>
      </w:r>
      <w:proofErr w:type="spellStart"/>
      <w:r w:rsidRPr="006E7360">
        <w:rPr>
          <w:color w:val="000000"/>
          <w:sz w:val="28"/>
          <w:szCs w:val="28"/>
        </w:rPr>
        <w:t>time</w:t>
      </w:r>
      <w:proofErr w:type="spellEnd"/>
      <w:r w:rsidRPr="006E7360">
        <w:rPr>
          <w:color w:val="000000"/>
          <w:sz w:val="28"/>
          <w:szCs w:val="28"/>
        </w:rPr>
        <w:t>)</w:t>
      </w:r>
      <w:r w:rsidRPr="006E7360">
        <w:rPr>
          <w:color w:val="000000"/>
          <w:sz w:val="28"/>
          <w:szCs w:val="28"/>
        </w:rPr>
        <w:sym w:font="Symbol" w:char="F074"/>
      </w:r>
      <w:r w:rsidRPr="006E7360">
        <w:rPr>
          <w:color w:val="000000"/>
          <w:sz w:val="28"/>
          <w:szCs w:val="28"/>
        </w:rPr>
        <w:t>На характеристике отмечены: время запаздывания  </w:t>
      </w:r>
      <w:proofErr w:type="spellStart"/>
      <w:r w:rsidRPr="006E7360">
        <w:rPr>
          <w:i/>
          <w:iCs/>
          <w:color w:val="000000"/>
          <w:sz w:val="28"/>
          <w:szCs w:val="28"/>
        </w:rPr>
        <w:t>t</w:t>
      </w:r>
      <w:r w:rsidRPr="006E7360">
        <w:rPr>
          <w:color w:val="000000"/>
          <w:sz w:val="28"/>
          <w:szCs w:val="28"/>
          <w:vertAlign w:val="subscript"/>
        </w:rPr>
        <w:t>п</w:t>
      </w:r>
      <w:proofErr w:type="spellEnd"/>
      <w:r w:rsidRPr="006E7360">
        <w:rPr>
          <w:color w:val="000000"/>
          <w:sz w:val="28"/>
          <w:szCs w:val="28"/>
          <w:vertAlign w:val="subscript"/>
        </w:rPr>
        <w:t xml:space="preserve"> п</w:t>
      </w:r>
      <w:r w:rsidRPr="006E7360">
        <w:rPr>
          <w:color w:val="000000"/>
          <w:sz w:val="28"/>
          <w:szCs w:val="28"/>
        </w:rPr>
        <w:t> от момента подачи ступенчатого воздействия до момента времени, после которого выходная величина отклоняется от установившегося значения </w:t>
      </w:r>
      <w:r w:rsidRPr="006E7360">
        <w:rPr>
          <w:i/>
          <w:iCs/>
          <w:color w:val="000000"/>
          <w:sz w:val="28"/>
          <w:szCs w:val="28"/>
        </w:rPr>
        <w:t>y</w:t>
      </w:r>
      <w:r w:rsidRPr="006E7360">
        <w:rPr>
          <w:color w:val="000000"/>
          <w:sz w:val="28"/>
          <w:szCs w:val="28"/>
        </w:rPr>
        <w:t> ) менее чем на 5%, или менее чем на допустимую погрешность; период колебаний</w:t>
      </w:r>
      <w:r w:rsidRPr="006E7360">
        <w:rPr>
          <w:color w:val="000000"/>
          <w:sz w:val="28"/>
          <w:szCs w:val="28"/>
        </w:rPr>
        <w:sym w:font="Symbol" w:char="F0A5"/>
      </w:r>
      <w:r w:rsidRPr="006E7360">
        <w:rPr>
          <w:color w:val="000000"/>
          <w:sz w:val="28"/>
          <w:szCs w:val="28"/>
        </w:rPr>
        <w:t>( </w:t>
      </w:r>
      <w:proofErr w:type="spellStart"/>
      <w:r w:rsidRPr="006E7360">
        <w:rPr>
          <w:i/>
          <w:iCs/>
          <w:color w:val="000000"/>
          <w:sz w:val="28"/>
          <w:szCs w:val="28"/>
        </w:rPr>
        <w:t>Т</w:t>
      </w:r>
      <w:r w:rsidRPr="006E7360">
        <w:rPr>
          <w:color w:val="000000"/>
          <w:sz w:val="28"/>
          <w:szCs w:val="28"/>
          <w:vertAlign w:val="subscript"/>
        </w:rPr>
        <w:t>кол</w:t>
      </w:r>
      <w:proofErr w:type="spellEnd"/>
      <w:r w:rsidRPr="006E7360">
        <w:rPr>
          <w:color w:val="000000"/>
          <w:sz w:val="28"/>
          <w:szCs w:val="28"/>
        </w:rPr>
        <w:t>, значение которого в системах регулирования обычно выражают в процентах от установившегося значения и называют перерегулированием (</w:t>
      </w:r>
      <w:proofErr w:type="spellStart"/>
      <w:r w:rsidRPr="006E7360">
        <w:rPr>
          <w:color w:val="000000"/>
          <w:sz w:val="28"/>
          <w:szCs w:val="28"/>
        </w:rPr>
        <w:t>overshoot</w:t>
      </w:r>
      <w:proofErr w:type="spellEnd"/>
      <w:r w:rsidRPr="006E7360">
        <w:rPr>
          <w:color w:val="000000"/>
          <w:sz w:val="28"/>
          <w:szCs w:val="28"/>
        </w:rPr>
        <w:t xml:space="preserve">). В литературе указываются и другие параметры переходного процесса. Например, время достижения 50% установившегося значения (время задержки, </w:t>
      </w:r>
      <w:proofErr w:type="spellStart"/>
      <w:r w:rsidRPr="006E7360">
        <w:rPr>
          <w:color w:val="000000"/>
          <w:sz w:val="28"/>
          <w:szCs w:val="28"/>
        </w:rPr>
        <w:t>delay</w:t>
      </w:r>
      <w:proofErr w:type="spellEnd"/>
      <w:r w:rsidRPr="006E7360">
        <w:rPr>
          <w:color w:val="000000"/>
          <w:sz w:val="28"/>
          <w:szCs w:val="28"/>
        </w:rPr>
        <w:t xml:space="preserve"> </w:t>
      </w:r>
      <w:proofErr w:type="spellStart"/>
      <w:r w:rsidRPr="006E7360">
        <w:rPr>
          <w:color w:val="000000"/>
          <w:sz w:val="28"/>
          <w:szCs w:val="28"/>
        </w:rPr>
        <w:t>time</w:t>
      </w:r>
      <w:proofErr w:type="spellEnd"/>
      <w:r w:rsidRPr="006E7360">
        <w:rPr>
          <w:color w:val="000000"/>
          <w:sz w:val="28"/>
          <w:szCs w:val="28"/>
        </w:rPr>
        <w:t>), время нарастания от 10% до 90% установившегося значения (</w:t>
      </w:r>
      <w:proofErr w:type="spellStart"/>
      <w:r w:rsidRPr="006E7360">
        <w:rPr>
          <w:color w:val="000000"/>
          <w:sz w:val="28"/>
          <w:szCs w:val="28"/>
        </w:rPr>
        <w:t>rise</w:t>
      </w:r>
      <w:proofErr w:type="spellEnd"/>
      <w:r w:rsidRPr="006E7360">
        <w:rPr>
          <w:color w:val="000000"/>
          <w:sz w:val="28"/>
          <w:szCs w:val="28"/>
        </w:rPr>
        <w:t xml:space="preserve"> </w:t>
      </w:r>
      <w:proofErr w:type="spellStart"/>
      <w:r w:rsidRPr="006E7360">
        <w:rPr>
          <w:color w:val="000000"/>
          <w:sz w:val="28"/>
          <w:szCs w:val="28"/>
        </w:rPr>
        <w:t>time</w:t>
      </w:r>
      <w:proofErr w:type="spellEnd"/>
      <w:r w:rsidRPr="006E7360">
        <w:rPr>
          <w:color w:val="000000"/>
          <w:sz w:val="28"/>
          <w:szCs w:val="28"/>
        </w:rPr>
        <w:t>), время достижения первого максимума (</w:t>
      </w:r>
      <w:proofErr w:type="spellStart"/>
      <w:r w:rsidRPr="006E7360">
        <w:rPr>
          <w:color w:val="000000"/>
          <w:sz w:val="28"/>
          <w:szCs w:val="28"/>
        </w:rPr>
        <w:t>peak</w:t>
      </w:r>
      <w:proofErr w:type="spellEnd"/>
      <w:r w:rsidRPr="006E7360">
        <w:rPr>
          <w:color w:val="000000"/>
          <w:sz w:val="28"/>
          <w:szCs w:val="28"/>
        </w:rPr>
        <w:t xml:space="preserve"> </w:t>
      </w:r>
      <w:proofErr w:type="spellStart"/>
      <w:r w:rsidRPr="006E7360">
        <w:rPr>
          <w:color w:val="000000"/>
          <w:sz w:val="28"/>
          <w:szCs w:val="28"/>
        </w:rPr>
        <w:t>time</w:t>
      </w:r>
      <w:proofErr w:type="spellEnd"/>
      <w:r w:rsidRPr="006E7360">
        <w:rPr>
          <w:color w:val="000000"/>
          <w:sz w:val="28"/>
          <w:szCs w:val="28"/>
        </w:rPr>
        <w:t>). При исследовании характеристик быстродействующих элементов длительность фронта ступенчатого входного сигнала нельзя считать пренебрежимо малой. Поэтому отсчет времени начинают от момента достижения входным сигналом уровня в 50% от установившегося значения. В некоторых случаях используют</w:t>
      </w:r>
      <w:r w:rsidRPr="006E7360">
        <w:rPr>
          <w:color w:val="000000"/>
          <w:sz w:val="28"/>
          <w:szCs w:val="28"/>
        </w:rPr>
        <w:sym w:font="Symbol" w:char="F073"/>
      </w:r>
      <w:r w:rsidRPr="006E7360">
        <w:rPr>
          <w:color w:val="000000"/>
          <w:sz w:val="28"/>
          <w:szCs w:val="28"/>
        </w:rPr>
        <w:t>; «заброс»  </w:t>
      </w:r>
      <w:r w:rsidRPr="006E7360">
        <w:rPr>
          <w:b/>
          <w:bCs/>
          <w:color w:val="000000"/>
          <w:sz w:val="28"/>
          <w:szCs w:val="28"/>
        </w:rPr>
        <w:t>импульсную переходную характеристику (весовую функцию) </w:t>
      </w:r>
      <w:r w:rsidRPr="006E7360">
        <w:rPr>
          <w:color w:val="000000"/>
          <w:sz w:val="28"/>
          <w:szCs w:val="28"/>
        </w:rPr>
        <w:t>– реакцию элемента на импульсное воздействие единичной площади. Импульсная переходная функция является производной по времени переходной функции.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Ступенчатое и импульсное воздействия типичны для систем автоматики, переходные характеристики наглядны, и их легко получить </w:t>
      </w:r>
      <w:r w:rsidRPr="006E7360">
        <w:rPr>
          <w:color w:val="000000"/>
          <w:sz w:val="28"/>
          <w:szCs w:val="28"/>
        </w:rPr>
        <w:lastRenderedPageBreak/>
        <w:t>экспериментально. Однако для более детального исследования динамики элементов и систем во многих случаях более удобны частотные характеристики, описывающие реакцию элемента на гармоническое воздействие. При гармоническом изменении входной величины выходная величина линейного элемента меняется с такой же частотой, что и входная.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036"/>
      </w:tblGrid>
      <w:tr w:rsidR="00947E7E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"http://textarchive.ru/images/1478/2955571/9e4af22d.gif"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12pt;height:164pt">
                  <v:imagedata r:id="rId4" r:href="rId5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Амплитудно-частотная характеристика (АЧХ) </w:t>
      </w:r>
      <w:r w:rsidRPr="006E7360">
        <w:rPr>
          <w:color w:val="000000"/>
          <w:sz w:val="28"/>
          <w:szCs w:val="28"/>
        </w:rPr>
        <w:t>– это зависимость от частоты отношения амплитуды выходного сигнала к амплитуде входного гармонического сигнала: </w:t>
      </w:r>
      <w:proofErr w:type="spellStart"/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  <w:vertAlign w:val="subscript"/>
        </w:rPr>
        <w:t>вых</w:t>
      </w:r>
      <w:proofErr w:type="spellEnd"/>
      <w:r w:rsidRPr="006E7360">
        <w:rPr>
          <w:color w:val="000000"/>
          <w:sz w:val="28"/>
          <w:szCs w:val="28"/>
        </w:rPr>
        <w:t> )/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</w:t>
      </w:r>
      <w:proofErr w:type="spellStart"/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  <w:vertAlign w:val="subscript"/>
        </w:rPr>
        <w:t>вх</w:t>
      </w:r>
      <w:proofErr w:type="spellEnd"/>
      <w:r w:rsidRPr="006E7360">
        <w:rPr>
          <w:color w:val="000000"/>
          <w:sz w:val="28"/>
          <w:szCs w:val="28"/>
        </w:rPr>
        <w:t>) =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>).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6E7360">
        <w:rPr>
          <w:b/>
          <w:bCs/>
          <w:color w:val="000000"/>
          <w:sz w:val="28"/>
          <w:szCs w:val="28"/>
        </w:rPr>
        <w:t>Фазочастотная</w:t>
      </w:r>
      <w:proofErr w:type="spellEnd"/>
      <w:r w:rsidRPr="006E7360">
        <w:rPr>
          <w:b/>
          <w:bCs/>
          <w:color w:val="000000"/>
          <w:sz w:val="28"/>
          <w:szCs w:val="28"/>
        </w:rPr>
        <w:t xml:space="preserve"> характеристика</w:t>
      </w:r>
      <w:r w:rsidRPr="006E7360">
        <w:rPr>
          <w:color w:val="000000"/>
          <w:sz w:val="28"/>
          <w:szCs w:val="28"/>
        </w:rPr>
        <w:t> (</w:t>
      </w:r>
      <w:r w:rsidRPr="006E7360">
        <w:rPr>
          <w:b/>
          <w:bCs/>
          <w:color w:val="000000"/>
          <w:sz w:val="28"/>
          <w:szCs w:val="28"/>
        </w:rPr>
        <w:t>ФЧХ</w:t>
      </w:r>
      <w:r w:rsidRPr="006E7360">
        <w:rPr>
          <w:color w:val="000000"/>
          <w:sz w:val="28"/>
          <w:szCs w:val="28"/>
        </w:rPr>
        <w:t>) – это зависимость от частоты фазового сдвига выходного сигнала относительно входного гармонического сигнала.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) 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Комплексный коэффициент передачи</w:t>
      </w:r>
      <w:r w:rsidRPr="006E7360">
        <w:rPr>
          <w:color w:val="000000"/>
          <w:sz w:val="28"/>
          <w:szCs w:val="28"/>
        </w:rPr>
        <w:t xml:space="preserve"> объединяет амплитудно-частотную и </w:t>
      </w:r>
      <w:proofErr w:type="spellStart"/>
      <w:r w:rsidRPr="006E7360">
        <w:rPr>
          <w:color w:val="000000"/>
          <w:sz w:val="28"/>
          <w:szCs w:val="28"/>
        </w:rPr>
        <w:t>фазочастотную</w:t>
      </w:r>
      <w:proofErr w:type="spellEnd"/>
      <w:r w:rsidRPr="006E7360">
        <w:rPr>
          <w:color w:val="000000"/>
          <w:sz w:val="28"/>
          <w:szCs w:val="28"/>
        </w:rPr>
        <w:t xml:space="preserve"> характеристики. Это комплексное число </w:t>
      </w:r>
      <w:r w:rsidRPr="006E7360">
        <w:rPr>
          <w:i/>
          <w:iCs/>
          <w:color w:val="000000"/>
          <w:sz w:val="28"/>
          <w:szCs w:val="28"/>
        </w:rPr>
        <w:t>W</w:t>
      </w:r>
      <w:r w:rsidRPr="006E7360">
        <w:rPr>
          <w:color w:val="000000"/>
          <w:sz w:val="28"/>
          <w:szCs w:val="28"/>
        </w:rPr>
        <w:t>)=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</w:t>
      </w:r>
      <w:proofErr w:type="spellStart"/>
      <w:r w:rsidRPr="006E7360">
        <w:rPr>
          <w:color w:val="000000"/>
          <w:sz w:val="28"/>
          <w:szCs w:val="28"/>
        </w:rPr>
        <w:t>j</w:t>
      </w:r>
      <w:r w:rsidRPr="006E7360">
        <w:rPr>
          <w:i/>
          <w:iCs/>
          <w:color w:val="000000"/>
          <w:sz w:val="28"/>
          <w:szCs w:val="28"/>
        </w:rPr>
        <w:t>R</w:t>
      </w:r>
      <w:proofErr w:type="spellEnd"/>
      <w:r w:rsidRPr="006E7360">
        <w:rPr>
          <w:color w:val="000000"/>
          <w:sz w:val="28"/>
          <w:szCs w:val="28"/>
        </w:rPr>
        <w:t>)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</w:t>
      </w:r>
      <w:proofErr w:type="spellStart"/>
      <w:r w:rsidRPr="006E7360">
        <w:rPr>
          <w:i/>
          <w:iCs/>
          <w:color w:val="000000"/>
          <w:sz w:val="28"/>
          <w:szCs w:val="28"/>
        </w:rPr>
        <w:t>e</w:t>
      </w:r>
      <w:r w:rsidRPr="006E7360">
        <w:rPr>
          <w:color w:val="000000"/>
          <w:sz w:val="28"/>
          <w:szCs w:val="28"/>
          <w:vertAlign w:val="superscript"/>
        </w:rPr>
        <w:t>j</w:t>
      </w:r>
      <w:proofErr w:type="spellEnd"/>
      <w:r w:rsidRPr="006E7360">
        <w:rPr>
          <w:color w:val="000000"/>
          <w:sz w:val="28"/>
          <w:szCs w:val="28"/>
          <w:vertAlign w:val="superscript"/>
        </w:rPr>
        <w:sym w:font="Symbol" w:char="F06A"/>
      </w:r>
      <w:r w:rsidRPr="006E7360">
        <w:rPr>
          <w:color w:val="000000"/>
          <w:sz w:val="28"/>
          <w:szCs w:val="28"/>
          <w:vertAlign w:val="superscript"/>
        </w:rPr>
        <w:t>(</w:t>
      </w:r>
      <w:r w:rsidRPr="006E7360">
        <w:rPr>
          <w:color w:val="000000"/>
          <w:sz w:val="28"/>
          <w:szCs w:val="28"/>
          <w:vertAlign w:val="superscript"/>
        </w:rPr>
        <w:sym w:font="Symbol" w:char="F077"/>
      </w:r>
      <w:r w:rsidRPr="006E7360">
        <w:rPr>
          <w:color w:val="000000"/>
          <w:sz w:val="28"/>
          <w:szCs w:val="28"/>
          <w:vertAlign w:val="superscript"/>
        </w:rPr>
        <w:t>)</w:t>
      </w:r>
      <w:r w:rsidRPr="006E7360">
        <w:rPr>
          <w:color w:val="000000"/>
          <w:sz w:val="28"/>
          <w:szCs w:val="28"/>
        </w:rPr>
        <w:t>, модуль которого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>) – ФЧХ. Комплексному числу можно поставить в соответствие вектор. Кривую, описываемую на комплексной плоскости концом выходящего из начала координат вектора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) представляет АЧХ, а аргумент 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W</w:t>
      </w:r>
      <w:r w:rsidRPr="006E7360">
        <w:rPr>
          <w:color w:val="000000"/>
          <w:sz w:val="28"/>
          <w:szCs w:val="28"/>
        </w:rPr>
        <w:t>(</w:t>
      </w:r>
      <w:r w:rsidRPr="006E7360">
        <w:rPr>
          <w:i/>
          <w:iCs/>
          <w:color w:val="000000"/>
          <w:sz w:val="28"/>
          <w:szCs w:val="28"/>
        </w:rPr>
        <w:t>j</w:t>
      </w:r>
      <w:r w:rsidRPr="006E7360">
        <w:rPr>
          <w:color w:val="000000"/>
          <w:sz w:val="28"/>
          <w:szCs w:val="28"/>
        </w:rPr>
        <w:t>, называют амплитудно-фазовой частотной характеристикой (АФЧХ).</w:t>
      </w:r>
      <w:r w:rsidRPr="006E7360">
        <w:rPr>
          <w:color w:val="000000"/>
          <w:sz w:val="28"/>
          <w:szCs w:val="28"/>
        </w:rPr>
        <w:sym w:font="Symbol" w:char="F0A5"/>
      </w:r>
      <w:r w:rsidRPr="006E7360">
        <w:rPr>
          <w:color w:val="000000"/>
          <w:sz w:val="28"/>
          <w:szCs w:val="28"/>
        </w:rPr>
        <w:t xml:space="preserve"> от 0 до 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 xml:space="preserve">) при изменении </w:t>
      </w:r>
      <w:r w:rsidRPr="006E7360">
        <w:rPr>
          <w:color w:val="000000"/>
          <w:sz w:val="28"/>
          <w:szCs w:val="28"/>
        </w:rPr>
        <w:sym w:font="Symbol" w:char="F077"/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Частотные характеристики широко используют при исследовании динамики систем, состоящих из многих элементов. При параллельном соединении элементов их комплексные коэффициенты передачи суммируются, а при последовательном соединении перемножаются. Суммирование комплексных чисел – это суммирование по отдельности их действительных и мнимых частей. Перемножение комплексных чисел – это перемножение их модулей и суммирование аргументов.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Построение графиков АЧХ последовательного соединения элементов упрощается, если представить значения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>) в логарифмическом масштабе: заменить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>) на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L</w:t>
      </w:r>
      <w:r w:rsidRPr="006E7360">
        <w:rPr>
          <w:color w:val="000000"/>
          <w:sz w:val="28"/>
          <w:szCs w:val="28"/>
        </w:rPr>
        <w:t xml:space="preserve">) = 20 </w:t>
      </w:r>
      <w:proofErr w:type="spellStart"/>
      <w:r w:rsidRPr="006E7360">
        <w:rPr>
          <w:color w:val="000000"/>
          <w:sz w:val="28"/>
          <w:szCs w:val="28"/>
        </w:rPr>
        <w:t>lg</w:t>
      </w:r>
      <w:proofErr w:type="spellEnd"/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>. В этом случае перемножение значений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 xml:space="preserve">), а на оси абсцисс откладывать значения </w:t>
      </w:r>
      <w:proofErr w:type="spellStart"/>
      <w:r w:rsidRPr="006E7360">
        <w:rPr>
          <w:color w:val="000000"/>
          <w:sz w:val="28"/>
          <w:szCs w:val="28"/>
        </w:rPr>
        <w:t>lg</w:t>
      </w:r>
      <w:proofErr w:type="spellEnd"/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 xml:space="preserve">) отдельных элементов сводится к суммированию значений 20 </w:t>
      </w:r>
      <w:proofErr w:type="spellStart"/>
      <w:r w:rsidRPr="006E7360">
        <w:rPr>
          <w:color w:val="000000"/>
          <w:sz w:val="28"/>
          <w:szCs w:val="28"/>
        </w:rPr>
        <w:t>lg</w:t>
      </w:r>
      <w:proofErr w:type="spellEnd"/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 xml:space="preserve">). Упрощается и вид АЧХ. </w:t>
      </w:r>
      <w:proofErr w:type="spellStart"/>
      <w:r w:rsidRPr="006E7360">
        <w:rPr>
          <w:color w:val="000000"/>
          <w:sz w:val="28"/>
          <w:szCs w:val="28"/>
        </w:rPr>
        <w:t>Логарифмичеcкие</w:t>
      </w:r>
      <w:proofErr w:type="spellEnd"/>
      <w:r w:rsidRPr="006E7360">
        <w:rPr>
          <w:color w:val="000000"/>
          <w:sz w:val="28"/>
          <w:szCs w:val="28"/>
        </w:rPr>
        <w:t xml:space="preserve"> амплитудные частотные характеристики в иностранной литературе называют диаграммами Боде.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При экспериментальном снятии частотных характеристик значение фазового сдвига обычно определяют, пользуясь фигурой </w:t>
      </w:r>
      <w:proofErr w:type="spellStart"/>
      <w:r w:rsidRPr="006E7360">
        <w:rPr>
          <w:color w:val="000000"/>
          <w:sz w:val="28"/>
          <w:szCs w:val="28"/>
        </w:rPr>
        <w:t>Лиссажу</w:t>
      </w:r>
      <w:proofErr w:type="spellEnd"/>
      <w:r w:rsidRPr="006E7360">
        <w:rPr>
          <w:color w:val="000000"/>
          <w:sz w:val="28"/>
          <w:szCs w:val="28"/>
        </w:rPr>
        <w:t xml:space="preserve">, </w:t>
      </w:r>
      <w:r w:rsidRPr="006E7360">
        <w:rPr>
          <w:color w:val="000000"/>
          <w:sz w:val="28"/>
          <w:szCs w:val="28"/>
        </w:rPr>
        <w:lastRenderedPageBreak/>
        <w:t>наблюдаемой на экране осциллографа или мониторе компьютера. Эта фигура получается в результате сложения во взаимно-перпендикулярных направлениях гармонических колебаний, снимаемых с входа и выхода элемента (рис.</w:t>
      </w:r>
      <w:proofErr w:type="gramStart"/>
      <w:r w:rsidRPr="006E7360">
        <w:rPr>
          <w:color w:val="000000"/>
          <w:sz w:val="28"/>
          <w:szCs w:val="28"/>
        </w:rPr>
        <w:t>1,</w:t>
      </w:r>
      <w:r w:rsidRPr="006E7360">
        <w:rPr>
          <w:i/>
          <w:iCs/>
          <w:color w:val="000000"/>
          <w:sz w:val="28"/>
          <w:szCs w:val="28"/>
        </w:rPr>
        <w:t>б</w:t>
      </w:r>
      <w:proofErr w:type="gramEnd"/>
      <w:r w:rsidRPr="006E7360">
        <w:rPr>
          <w:color w:val="000000"/>
          <w:sz w:val="28"/>
          <w:szCs w:val="28"/>
        </w:rPr>
        <w:t>).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Передаточная функция</w:t>
      </w:r>
      <w:r w:rsidRPr="006E7360">
        <w:rPr>
          <w:color w:val="000000"/>
          <w:sz w:val="28"/>
          <w:szCs w:val="28"/>
        </w:rPr>
        <w:t> (</w:t>
      </w:r>
      <w:proofErr w:type="spellStart"/>
      <w:r w:rsidRPr="006E7360">
        <w:rPr>
          <w:color w:val="000000"/>
          <w:sz w:val="28"/>
          <w:szCs w:val="28"/>
        </w:rPr>
        <w:t>transfer</w:t>
      </w:r>
      <w:proofErr w:type="spellEnd"/>
      <w:r w:rsidRPr="006E7360">
        <w:rPr>
          <w:color w:val="000000"/>
          <w:sz w:val="28"/>
          <w:szCs w:val="28"/>
        </w:rPr>
        <w:t xml:space="preserve"> </w:t>
      </w:r>
      <w:proofErr w:type="spellStart"/>
      <w:r w:rsidRPr="006E7360">
        <w:rPr>
          <w:color w:val="000000"/>
          <w:sz w:val="28"/>
          <w:szCs w:val="28"/>
        </w:rPr>
        <w:t>function</w:t>
      </w:r>
      <w:proofErr w:type="spellEnd"/>
      <w:r w:rsidRPr="006E7360">
        <w:rPr>
          <w:color w:val="000000"/>
          <w:sz w:val="28"/>
          <w:szCs w:val="28"/>
        </w:rPr>
        <w:t>) является очень удобным способом аналитического описания динамики линейного элемента (системы). Ее можно получить из линеаризованного дифференциального уравнения, описывающего связь входной </w:t>
      </w:r>
      <w:r w:rsidRPr="006E7360">
        <w:rPr>
          <w:i/>
          <w:iCs/>
          <w:color w:val="000000"/>
          <w:sz w:val="28"/>
          <w:szCs w:val="28"/>
        </w:rPr>
        <w:t>x(t)</w:t>
      </w:r>
      <w:r w:rsidRPr="006E7360">
        <w:rPr>
          <w:color w:val="000000"/>
          <w:sz w:val="28"/>
          <w:szCs w:val="28"/>
        </w:rPr>
        <w:t> и выходной </w:t>
      </w:r>
      <w:r w:rsidRPr="006E7360">
        <w:rPr>
          <w:i/>
          <w:iCs/>
          <w:color w:val="000000"/>
          <w:sz w:val="28"/>
          <w:szCs w:val="28"/>
        </w:rPr>
        <w:t>y(t)</w:t>
      </w:r>
      <w:r w:rsidRPr="006E7360">
        <w:rPr>
          <w:color w:val="000000"/>
          <w:sz w:val="28"/>
          <w:szCs w:val="28"/>
        </w:rPr>
        <w:t> переменных: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898"/>
        <w:gridCol w:w="1111"/>
      </w:tblGrid>
      <w:tr w:rsidR="00947E7E" w:rsidRPr="006E7360" w:rsidTr="0038423B">
        <w:trPr>
          <w:tblCellSpacing w:w="15" w:type="dxa"/>
        </w:trPr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"http://textarchive.ru/images/1478/2955571/d9d4ed28.gif"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6" type="#_x0000_t75" style="width:305.5pt;height:33pt">
                  <v:imagedata r:id="rId6" r:href="rId7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  <w:vAlign w:val="center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t>(1)</w:t>
            </w:r>
          </w:p>
        </w:tc>
      </w:tr>
    </w:tbl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операторной форме это уравнение записывается в следующем виде: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389"/>
        <w:gridCol w:w="1111"/>
      </w:tblGrid>
      <w:tr w:rsidR="00947E7E" w:rsidRPr="006E7360" w:rsidTr="0038423B">
        <w:trPr>
          <w:tblCellSpacing w:w="15" w:type="dxa"/>
        </w:trPr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"http://textarchive.ru/images/1478/2955571/c4c3e1b7.gif"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7" type="#_x0000_t75" style="width:330pt;height:19pt">
                  <v:imagedata r:id="rId8" r:href="rId9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  <w:vAlign w:val="center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t>(2)</w:t>
            </w:r>
          </w:p>
        </w:tc>
      </w:tr>
    </w:tbl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где </w:t>
      </w:r>
      <w:r w:rsidRPr="006E7360">
        <w:rPr>
          <w:i/>
          <w:iCs/>
          <w:color w:val="000000"/>
          <w:sz w:val="28"/>
          <w:szCs w:val="28"/>
        </w:rPr>
        <w:t>р</w:t>
      </w:r>
      <w:r w:rsidRPr="006E7360">
        <w:rPr>
          <w:color w:val="000000"/>
          <w:sz w:val="28"/>
          <w:szCs w:val="28"/>
        </w:rPr>
        <w:t> = </w:t>
      </w:r>
      <w:r w:rsidRPr="006E7360">
        <w:rPr>
          <w:i/>
          <w:iCs/>
          <w:color w:val="000000"/>
          <w:sz w:val="28"/>
          <w:szCs w:val="28"/>
        </w:rPr>
        <w:t>d/</w:t>
      </w:r>
      <w:proofErr w:type="spellStart"/>
      <w:r w:rsidRPr="006E7360">
        <w:rPr>
          <w:i/>
          <w:iCs/>
          <w:color w:val="000000"/>
          <w:sz w:val="28"/>
          <w:szCs w:val="28"/>
        </w:rPr>
        <w:t>dt</w:t>
      </w:r>
      <w:proofErr w:type="spellEnd"/>
      <w:r w:rsidRPr="006E7360">
        <w:rPr>
          <w:color w:val="000000"/>
          <w:sz w:val="28"/>
          <w:szCs w:val="28"/>
        </w:rPr>
        <w:t> – оператор дифференцирования. Одно из определений передаточной функции </w:t>
      </w:r>
      <w:r w:rsidRPr="006E7360">
        <w:rPr>
          <w:i/>
          <w:iCs/>
          <w:color w:val="000000"/>
          <w:sz w:val="28"/>
          <w:szCs w:val="28"/>
        </w:rPr>
        <w:t>W(p)</w:t>
      </w:r>
      <w:r w:rsidRPr="006E7360">
        <w:rPr>
          <w:color w:val="000000"/>
          <w:sz w:val="28"/>
          <w:szCs w:val="28"/>
        </w:rPr>
        <w:t> – отношение операторов правой и левой частей уравнения (2):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0"/>
        <w:gridCol w:w="1111"/>
      </w:tblGrid>
      <w:tr w:rsidR="00947E7E" w:rsidRPr="006E7360" w:rsidTr="0038423B">
        <w:trPr>
          <w:tblCellSpacing w:w="15" w:type="dxa"/>
        </w:trPr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"http://textarchive.ru/images/1478/2955571/27dd96bc.gif"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8" type="#_x0000_t75" style="width:186pt;height:39pt">
                  <v:imagedata r:id="rId10" r:href="rId11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  <w:vAlign w:val="center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t>(3)</w:t>
            </w:r>
          </w:p>
        </w:tc>
      </w:tr>
    </w:tbl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Другое определение передаточной функции – отношение изображений по Лапласу выходного и входного сигналов при нулевых начальных условиях. Применение преобразования Лапласа к уравнению (1) дает выражение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113"/>
        <w:gridCol w:w="1111"/>
      </w:tblGrid>
      <w:tr w:rsidR="00947E7E" w:rsidRPr="006E7360" w:rsidTr="0038423B">
        <w:trPr>
          <w:tblCellSpacing w:w="15" w:type="dxa"/>
        </w:trPr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"http://textarchive.ru/images/1478/2955571/4398d7a.gif"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9" type="#_x0000_t75" style="width:316.5pt;height:18.5pt">
                  <v:imagedata r:id="rId12" r:href="rId13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  <w:vAlign w:val="center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t>(4)</w:t>
            </w:r>
          </w:p>
        </w:tc>
      </w:tr>
    </w:tbl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где s – оператор Лапласа, </w:t>
      </w:r>
      <w:r w:rsidRPr="006E7360">
        <w:rPr>
          <w:i/>
          <w:iCs/>
          <w:color w:val="000000"/>
          <w:sz w:val="28"/>
          <w:szCs w:val="28"/>
        </w:rPr>
        <w:t>X(s)</w:t>
      </w:r>
      <w:r w:rsidRPr="006E7360">
        <w:rPr>
          <w:color w:val="000000"/>
          <w:sz w:val="28"/>
          <w:szCs w:val="28"/>
        </w:rPr>
        <w:t> и </w:t>
      </w:r>
      <w:r w:rsidRPr="006E7360">
        <w:rPr>
          <w:i/>
          <w:iCs/>
          <w:color w:val="000000"/>
          <w:sz w:val="28"/>
          <w:szCs w:val="28"/>
        </w:rPr>
        <w:t>Y(s)</w:t>
      </w:r>
      <w:r w:rsidRPr="006E7360">
        <w:rPr>
          <w:color w:val="000000"/>
          <w:sz w:val="28"/>
          <w:szCs w:val="28"/>
        </w:rPr>
        <w:t> – изображения x(t) и y(t). Отсюда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70"/>
        <w:gridCol w:w="1111"/>
      </w:tblGrid>
      <w:tr w:rsidR="00947E7E" w:rsidRPr="006E7360" w:rsidTr="0038423B">
        <w:trPr>
          <w:tblCellSpacing w:w="15" w:type="dxa"/>
        </w:trPr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"http://textarchive.ru/images/1478/2955571/eb7b029a.gif"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30" type="#_x0000_t75" style="width:173.5pt;height:39pt">
                  <v:imagedata r:id="rId14" r:href="rId15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  <w:vAlign w:val="center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t>(5)</w:t>
            </w:r>
          </w:p>
        </w:tc>
      </w:tr>
    </w:tbl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Выражения (3) и (5) совпадают.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Подстановкой </w:t>
      </w:r>
      <w:r w:rsidRPr="006E7360">
        <w:rPr>
          <w:i/>
          <w:iCs/>
          <w:color w:val="000000"/>
          <w:sz w:val="28"/>
          <w:szCs w:val="28"/>
        </w:rPr>
        <w:t>p</w:t>
      </w:r>
      <w:r w:rsidRPr="006E7360">
        <w:rPr>
          <w:color w:val="000000"/>
          <w:sz w:val="28"/>
          <w:szCs w:val="28"/>
        </w:rPr>
        <w:t> = </w:t>
      </w:r>
      <w:r w:rsidRPr="006E7360">
        <w:rPr>
          <w:i/>
          <w:iCs/>
          <w:color w:val="000000"/>
          <w:sz w:val="28"/>
          <w:szCs w:val="28"/>
        </w:rPr>
        <w:t>j</w:t>
      </w:r>
      <w:r w:rsidRPr="006E7360">
        <w:rPr>
          <w:color w:val="000000"/>
          <w:sz w:val="28"/>
          <w:szCs w:val="28"/>
        </w:rPr>
        <w:t xml:space="preserve"> в выражение передаточной функции получаем комплексный коэффициент передачи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 </w:t>
      </w:r>
      <w:r w:rsidRPr="006E7360">
        <w:rPr>
          <w:i/>
          <w:iCs/>
          <w:color w:val="000000"/>
          <w:sz w:val="28"/>
          <w:szCs w:val="28"/>
        </w:rPr>
        <w:t>W</w:t>
      </w:r>
      <w:r w:rsidRPr="006E7360">
        <w:rPr>
          <w:color w:val="000000"/>
          <w:sz w:val="28"/>
          <w:szCs w:val="28"/>
        </w:rPr>
        <w:t>). Подстановкой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(j </w:t>
      </w:r>
      <w:r w:rsidRPr="006E7360">
        <w:rPr>
          <w:i/>
          <w:iCs/>
          <w:color w:val="000000"/>
          <w:sz w:val="28"/>
          <w:szCs w:val="28"/>
        </w:rPr>
        <w:t>p</w:t>
      </w:r>
      <w:r w:rsidRPr="006E7360">
        <w:rPr>
          <w:color w:val="000000"/>
          <w:sz w:val="28"/>
          <w:szCs w:val="28"/>
        </w:rPr>
        <w:t xml:space="preserve"> = 0 в передаточную функцию устойчивого элемента получаем его статическую </w:t>
      </w:r>
      <w:proofErr w:type="spellStart"/>
      <w:r w:rsidRPr="006E7360">
        <w:rPr>
          <w:color w:val="000000"/>
          <w:sz w:val="28"/>
          <w:szCs w:val="28"/>
        </w:rPr>
        <w:t>характеристику</w:t>
      </w:r>
      <w:r w:rsidRPr="006E7360">
        <w:rPr>
          <w:i/>
          <w:iCs/>
          <w:color w:val="000000"/>
          <w:sz w:val="28"/>
          <w:szCs w:val="28"/>
        </w:rPr>
        <w:t>y</w:t>
      </w:r>
      <w:proofErr w:type="spellEnd"/>
      <w:r w:rsidRPr="006E7360">
        <w:rPr>
          <w:color w:val="000000"/>
          <w:sz w:val="28"/>
          <w:szCs w:val="28"/>
        </w:rPr>
        <w:t> = </w:t>
      </w:r>
      <w:r w:rsidRPr="006E7360">
        <w:rPr>
          <w:i/>
          <w:iCs/>
          <w:color w:val="000000"/>
          <w:sz w:val="28"/>
          <w:szCs w:val="28"/>
        </w:rPr>
        <w:t>W</w:t>
      </w:r>
      <w:r w:rsidRPr="006E7360">
        <w:rPr>
          <w:color w:val="000000"/>
          <w:sz w:val="28"/>
          <w:szCs w:val="28"/>
        </w:rPr>
        <w:t>(0)</w:t>
      </w:r>
      <w:r w:rsidRPr="006E7360">
        <w:rPr>
          <w:i/>
          <w:iCs/>
          <w:color w:val="000000"/>
          <w:sz w:val="28"/>
          <w:szCs w:val="28"/>
        </w:rPr>
        <w:t>x</w:t>
      </w:r>
      <w:r w:rsidRPr="006E7360">
        <w:rPr>
          <w:color w:val="000000"/>
          <w:sz w:val="28"/>
          <w:szCs w:val="28"/>
        </w:rPr>
        <w:t>. Подстановкой </w:t>
      </w:r>
      <w:r w:rsidRPr="006E7360">
        <w:rPr>
          <w:i/>
          <w:iCs/>
          <w:color w:val="000000"/>
          <w:sz w:val="28"/>
          <w:szCs w:val="28"/>
        </w:rPr>
        <w:t>p</w:t>
      </w:r>
      <w:r w:rsidRPr="006E7360">
        <w:rPr>
          <w:color w:val="000000"/>
          <w:sz w:val="28"/>
          <w:szCs w:val="28"/>
        </w:rPr>
        <w:t>  получаем значение выходной величины элемента в первый момент после подачи на него ступенчатого воздействия.</w:t>
      </w:r>
      <w:r w:rsidRPr="006E7360">
        <w:rPr>
          <w:color w:val="000000"/>
          <w:sz w:val="28"/>
          <w:szCs w:val="28"/>
        </w:rPr>
        <w:sym w:font="Symbol" w:char="F0A5"/>
      </w:r>
      <w:r w:rsidRPr="006E7360">
        <w:rPr>
          <w:color w:val="000000"/>
          <w:sz w:val="28"/>
          <w:szCs w:val="28"/>
        </w:rPr>
        <w:t xml:space="preserve">= 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Зная передаточную функцию, можно найти реакцию элемента на воздействие заданного вида следующим образом. От аналитического выражения входной величины </w:t>
      </w:r>
      <w:r w:rsidRPr="006E7360">
        <w:rPr>
          <w:i/>
          <w:iCs/>
          <w:color w:val="000000"/>
          <w:sz w:val="28"/>
          <w:szCs w:val="28"/>
        </w:rPr>
        <w:t>x(t)</w:t>
      </w:r>
      <w:r w:rsidRPr="006E7360">
        <w:rPr>
          <w:color w:val="000000"/>
          <w:sz w:val="28"/>
          <w:szCs w:val="28"/>
        </w:rPr>
        <w:t> переходят к его изображению по Лапласу </w:t>
      </w:r>
      <w:r w:rsidRPr="006E7360">
        <w:rPr>
          <w:i/>
          <w:iCs/>
          <w:color w:val="000000"/>
          <w:sz w:val="28"/>
          <w:szCs w:val="28"/>
        </w:rPr>
        <w:t>X(s),</w:t>
      </w:r>
      <w:r w:rsidRPr="006E7360">
        <w:rPr>
          <w:color w:val="000000"/>
          <w:sz w:val="28"/>
          <w:szCs w:val="28"/>
        </w:rPr>
        <w:t> находят </w:t>
      </w:r>
      <w:r w:rsidRPr="006E7360">
        <w:rPr>
          <w:i/>
          <w:iCs/>
          <w:color w:val="000000"/>
          <w:sz w:val="28"/>
          <w:szCs w:val="28"/>
        </w:rPr>
        <w:t>Y(s)</w:t>
      </w:r>
      <w:r w:rsidRPr="006E7360">
        <w:rPr>
          <w:color w:val="000000"/>
          <w:sz w:val="28"/>
          <w:szCs w:val="28"/>
        </w:rPr>
        <w:t> = </w:t>
      </w:r>
      <w:r w:rsidRPr="006E7360">
        <w:rPr>
          <w:i/>
          <w:iCs/>
          <w:color w:val="000000"/>
          <w:sz w:val="28"/>
          <w:szCs w:val="28"/>
        </w:rPr>
        <w:t>W(s) X(s),</w:t>
      </w:r>
      <w:r w:rsidRPr="006E7360">
        <w:rPr>
          <w:color w:val="000000"/>
          <w:sz w:val="28"/>
          <w:szCs w:val="28"/>
        </w:rPr>
        <w:t> а по изображению </w:t>
      </w:r>
      <w:r w:rsidRPr="006E7360">
        <w:rPr>
          <w:i/>
          <w:iCs/>
          <w:color w:val="000000"/>
          <w:sz w:val="28"/>
          <w:szCs w:val="28"/>
        </w:rPr>
        <w:t>Y(s)</w:t>
      </w:r>
      <w:r w:rsidRPr="006E7360">
        <w:rPr>
          <w:color w:val="000000"/>
          <w:sz w:val="28"/>
          <w:szCs w:val="28"/>
        </w:rPr>
        <w:t> – его «оригинал», выходную величину </w:t>
      </w:r>
      <w:r w:rsidRPr="006E7360">
        <w:rPr>
          <w:i/>
          <w:iCs/>
          <w:color w:val="000000"/>
          <w:sz w:val="28"/>
          <w:szCs w:val="28"/>
        </w:rPr>
        <w:t>y(t).</w:t>
      </w:r>
      <w:r w:rsidRPr="006E7360">
        <w:rPr>
          <w:color w:val="000000"/>
          <w:sz w:val="28"/>
          <w:szCs w:val="28"/>
        </w:rPr>
        <w:t> При переходе от изображения к оригиналу и обратно пользуются свойствами и таблицей преобразования Лапласа.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Передаточная функция соединения элементов составляется по правилам, показанным на рис. 2.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377"/>
      </w:tblGrid>
      <w:tr w:rsidR="00947E7E" w:rsidRPr="006E7360" w:rsidTr="0038423B">
        <w:trPr>
          <w:trHeight w:val="1680"/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lastRenderedPageBreak/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"http://textarchive.ru/images/1478/2955571/15e6ddba.gif"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31" type="#_x0000_t75" style="width:329pt;height:97pt">
                  <v:imagedata r:id="rId16" r:href="rId17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Рис. 2. Передаточные функции соединений звеньев</w:t>
      </w:r>
    </w:p>
    <w:p w:rsidR="00947E7E" w:rsidRPr="006E7360" w:rsidRDefault="00947E7E" w:rsidP="00947E7E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При составлении передаточных функций элементов и систем удобно пользоваться понятием типовое звено – это виртуальный элемент с простейшими идеализированными свойствами. Характеристики некоторых типовых звеньев и их соединений представлены на рис.3, где </w:t>
      </w:r>
      <w:r w:rsidRPr="006E7360">
        <w:rPr>
          <w:i/>
          <w:iCs/>
          <w:color w:val="000000"/>
          <w:sz w:val="28"/>
          <w:szCs w:val="28"/>
        </w:rPr>
        <w:t>k</w:t>
      </w:r>
      <w:r w:rsidRPr="006E7360">
        <w:rPr>
          <w:color w:val="000000"/>
          <w:sz w:val="28"/>
          <w:szCs w:val="28"/>
        </w:rPr>
        <w:t> – статический коэффициент передачи, </w:t>
      </w:r>
      <w:r w:rsidRPr="006E7360">
        <w:rPr>
          <w:i/>
          <w:iCs/>
          <w:color w:val="000000"/>
          <w:sz w:val="28"/>
          <w:szCs w:val="28"/>
        </w:rPr>
        <w:t>Т</w:t>
      </w:r>
      <w:r w:rsidRPr="006E7360">
        <w:rPr>
          <w:color w:val="000000"/>
          <w:sz w:val="28"/>
          <w:szCs w:val="28"/>
        </w:rPr>
        <w:t>  – коэффициент затухания.</w:t>
      </w:r>
      <w:r w:rsidRPr="006E7360">
        <w:rPr>
          <w:color w:val="000000"/>
          <w:sz w:val="28"/>
          <w:szCs w:val="28"/>
        </w:rPr>
        <w:sym w:font="Symbol" w:char="F078"/>
      </w:r>
      <w:r w:rsidRPr="006E7360">
        <w:rPr>
          <w:color w:val="000000"/>
          <w:sz w:val="28"/>
          <w:szCs w:val="28"/>
        </w:rPr>
        <w:t xml:space="preserve">– постоянная времени, 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89"/>
        <w:gridCol w:w="6790"/>
        <w:gridCol w:w="818"/>
      </w:tblGrid>
      <w:tr w:rsidR="00947E7E" w:rsidRPr="006E7360" w:rsidTr="0038423B">
        <w:trPr>
          <w:trHeight w:val="3975"/>
          <w:tblCellSpacing w:w="15" w:type="dxa"/>
        </w:trPr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ind w:firstLine="709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"http://textarchive.ru/images/1478/2955571/29a42421.gif"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32" type="#_x0000_t75" style="width:341pt;height:213.5pt">
                  <v:imagedata r:id="rId18" r:href="rId19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  <w:tr w:rsidR="00947E7E" w:rsidRPr="006E7360" w:rsidTr="0038423B">
        <w:trPr>
          <w:tblCellSpacing w:w="15" w:type="dxa"/>
        </w:trPr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pStyle w:val="2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t>Рис. 3. Передаточные функции и переходные характеристики типовых звеньев:</w:t>
            </w:r>
          </w:p>
          <w:p w:rsidR="00947E7E" w:rsidRPr="006E7360" w:rsidRDefault="00947E7E" w:rsidP="0038423B">
            <w:pPr>
              <w:pStyle w:val="2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t>1 – инерционного (апериодического); 2 – интегрирующего; 3 – неустойчивого апериодического; 4 – колебательного; 5 – инерционного второго порядка; 6 – инерционного интегрирующего; 7 – инерционного дифференцирующего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947E7E" w:rsidRPr="006E7360" w:rsidRDefault="00947E7E" w:rsidP="0038423B">
            <w:pPr>
              <w:ind w:firstLine="70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96125D" w:rsidRDefault="0096125D"/>
    <w:sectPr w:rsidR="00961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178"/>
    <w:rsid w:val="00827178"/>
    <w:rsid w:val="00947E7E"/>
    <w:rsid w:val="0096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09DA4"/>
  <w15:chartTrackingRefBased/>
  <w15:docId w15:val="{CF3EFAF3-8AD9-461B-B019-D6A2BC6E0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E7E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2">
    <w:name w:val="heading 2"/>
    <w:basedOn w:val="a"/>
    <w:link w:val="20"/>
    <w:qFormat/>
    <w:rsid w:val="00947E7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47E7E"/>
    <w:rPr>
      <w:rFonts w:ascii="Times New Roman" w:eastAsia="Batang" w:hAnsi="Times New Roman" w:cs="Times New Roman"/>
      <w:b/>
      <w:bCs/>
      <w:sz w:val="36"/>
      <w:szCs w:val="36"/>
      <w:lang w:eastAsia="ko-KR"/>
    </w:rPr>
  </w:style>
  <w:style w:type="paragraph" w:styleId="a3">
    <w:basedOn w:val="a"/>
    <w:next w:val="a4"/>
    <w:rsid w:val="00947E7E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947E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textarchive.ru/images/1478/2955571/4398d7a.gif" TargetMode="External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http://textarchive.ru/images/1478/2955571/d9d4ed28.gif" TargetMode="External"/><Relationship Id="rId12" Type="http://schemas.openxmlformats.org/officeDocument/2006/relationships/image" Target="media/image5.png"/><Relationship Id="rId17" Type="http://schemas.openxmlformats.org/officeDocument/2006/relationships/image" Target="http://textarchive.ru/images/1478/2955571/15e6ddba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textarchive.ru/images/1478/2955571/27dd96bc.gif" TargetMode="External"/><Relationship Id="rId5" Type="http://schemas.openxmlformats.org/officeDocument/2006/relationships/image" Target="http://textarchive.ru/images/1478/2955571/9e4af22d.gif" TargetMode="External"/><Relationship Id="rId15" Type="http://schemas.openxmlformats.org/officeDocument/2006/relationships/image" Target="http://textarchive.ru/images/1478/2955571/eb7b029a.gif" TargetMode="External"/><Relationship Id="rId10" Type="http://schemas.openxmlformats.org/officeDocument/2006/relationships/image" Target="media/image4.png"/><Relationship Id="rId19" Type="http://schemas.openxmlformats.org/officeDocument/2006/relationships/image" Target="http://textarchive.ru/images/1478/2955571/29a42421.gif" TargetMode="External"/><Relationship Id="rId4" Type="http://schemas.openxmlformats.org/officeDocument/2006/relationships/image" Target="media/image1.png"/><Relationship Id="rId9" Type="http://schemas.openxmlformats.org/officeDocument/2006/relationships/image" Target="http://textarchive.ru/images/1478/2955571/c4c3e1b7.gif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2051</Words>
  <Characters>11691</Characters>
  <Application>Microsoft Office Word</Application>
  <DocSecurity>0</DocSecurity>
  <Lines>97</Lines>
  <Paragraphs>27</Paragraphs>
  <ScaleCrop>false</ScaleCrop>
  <Company>SPecialiST RePack</Company>
  <LinksUpToDate>false</LinksUpToDate>
  <CharactersWithSpaces>13715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2024-09-26T23:59:00Z</dcterms:created>
  <dcterms:modified xsi:type="dcterms:W3CDTF">2024-09-27T00:00:00Z</dcterms:modified>
</cp:coreProperties>
</file>